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2316" w14:textId="77777777" w:rsidR="00266B5E" w:rsidRPr="000C05D6" w:rsidRDefault="00266B5E" w:rsidP="00266B5E">
      <w:pPr>
        <w:jc w:val="center"/>
        <w:rPr>
          <w:rFonts w:ascii="Times New Roman" w:hAnsi="Times New Roman" w:cs="Times New Roman"/>
          <w:b/>
          <w:sz w:val="24"/>
          <w:szCs w:val="24"/>
        </w:rPr>
      </w:pPr>
      <w:r w:rsidRPr="000C05D6">
        <w:rPr>
          <w:rFonts w:ascii="Times New Roman" w:hAnsi="Times New Roman" w:cs="Times New Roman"/>
          <w:b/>
          <w:sz w:val="24"/>
          <w:szCs w:val="24"/>
        </w:rPr>
        <w:t xml:space="preserve">Program „Opieka </w:t>
      </w:r>
      <w:proofErr w:type="spellStart"/>
      <w:r w:rsidRPr="000C05D6">
        <w:rPr>
          <w:rFonts w:ascii="Times New Roman" w:hAnsi="Times New Roman" w:cs="Times New Roman"/>
          <w:b/>
          <w:sz w:val="24"/>
          <w:szCs w:val="24"/>
        </w:rPr>
        <w:t>wytchnieniowa</w:t>
      </w:r>
      <w:proofErr w:type="spellEnd"/>
      <w:r w:rsidRPr="000C05D6">
        <w:rPr>
          <w:rFonts w:ascii="Times New Roman" w:hAnsi="Times New Roman" w:cs="Times New Roman"/>
          <w:b/>
          <w:sz w:val="24"/>
          <w:szCs w:val="24"/>
        </w:rPr>
        <w:t>”</w:t>
      </w:r>
    </w:p>
    <w:p w14:paraId="091BCFF2" w14:textId="77777777" w:rsidR="00266B5E" w:rsidRPr="000C05D6" w:rsidRDefault="00266B5E" w:rsidP="00266B5E">
      <w:pPr>
        <w:jc w:val="center"/>
        <w:rPr>
          <w:rFonts w:ascii="Times New Roman" w:hAnsi="Times New Roman" w:cs="Times New Roman"/>
          <w:b/>
          <w:sz w:val="24"/>
          <w:szCs w:val="24"/>
        </w:rPr>
      </w:pPr>
      <w:r w:rsidRPr="000C05D6">
        <w:rPr>
          <w:rFonts w:ascii="Times New Roman" w:hAnsi="Times New Roman" w:cs="Times New Roman"/>
          <w:b/>
          <w:sz w:val="24"/>
          <w:szCs w:val="24"/>
        </w:rPr>
        <w:t xml:space="preserve">Ocena potrzeby wsparcia w codziennym funkcjonowaniu z zastosowaniem Skali Pomiaru Niezależności Funkcjonalnej (FIM – The </w:t>
      </w:r>
      <w:proofErr w:type="spellStart"/>
      <w:r w:rsidRPr="000C05D6">
        <w:rPr>
          <w:rFonts w:ascii="Times New Roman" w:hAnsi="Times New Roman" w:cs="Times New Roman"/>
          <w:b/>
          <w:sz w:val="24"/>
          <w:szCs w:val="24"/>
        </w:rPr>
        <w:t>Functional</w:t>
      </w:r>
      <w:proofErr w:type="spellEnd"/>
      <w:r w:rsidRPr="000C05D6">
        <w:rPr>
          <w:rFonts w:ascii="Times New Roman" w:hAnsi="Times New Roman" w:cs="Times New Roman"/>
          <w:b/>
          <w:sz w:val="24"/>
          <w:szCs w:val="24"/>
        </w:rPr>
        <w:t xml:space="preserve"> </w:t>
      </w:r>
      <w:proofErr w:type="spellStart"/>
      <w:r w:rsidRPr="000C05D6">
        <w:rPr>
          <w:rFonts w:ascii="Times New Roman" w:hAnsi="Times New Roman" w:cs="Times New Roman"/>
          <w:b/>
          <w:sz w:val="24"/>
          <w:szCs w:val="24"/>
        </w:rPr>
        <w:t>Independence</w:t>
      </w:r>
      <w:proofErr w:type="spellEnd"/>
      <w:r w:rsidRPr="000C05D6">
        <w:rPr>
          <w:rFonts w:ascii="Times New Roman" w:hAnsi="Times New Roman" w:cs="Times New Roman"/>
          <w:b/>
          <w:sz w:val="24"/>
          <w:szCs w:val="24"/>
        </w:rPr>
        <w:t xml:space="preserve"> </w:t>
      </w:r>
      <w:proofErr w:type="spellStart"/>
      <w:r w:rsidRPr="000C05D6">
        <w:rPr>
          <w:rFonts w:ascii="Times New Roman" w:hAnsi="Times New Roman" w:cs="Times New Roman"/>
          <w:b/>
          <w:sz w:val="24"/>
          <w:szCs w:val="24"/>
        </w:rPr>
        <w:t>Measure</w:t>
      </w:r>
      <w:proofErr w:type="spellEnd"/>
      <w:r w:rsidRPr="000C05D6">
        <w:rPr>
          <w:rFonts w:ascii="Times New Roman" w:hAnsi="Times New Roman" w:cs="Times New Roman"/>
          <w:b/>
          <w:sz w:val="24"/>
          <w:szCs w:val="24"/>
        </w:rPr>
        <w:t>)</w:t>
      </w:r>
    </w:p>
    <w:p w14:paraId="0B053F4C" w14:textId="77777777" w:rsidR="00266B5E" w:rsidRPr="000C05D6" w:rsidRDefault="00266B5E" w:rsidP="00266B5E">
      <w:pPr>
        <w:jc w:val="both"/>
        <w:rPr>
          <w:rFonts w:ascii="Times New Roman" w:hAnsi="Times New Roman" w:cs="Times New Roman"/>
          <w:sz w:val="24"/>
          <w:szCs w:val="24"/>
        </w:rPr>
      </w:pPr>
    </w:p>
    <w:p w14:paraId="635A0BEB"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 xml:space="preserve">Cel: </w:t>
      </w:r>
    </w:p>
    <w:p w14:paraId="108810E3"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0C05D6">
        <w:rPr>
          <w:rFonts w:ascii="Times New Roman" w:hAnsi="Times New Roman" w:cs="Times New Roman"/>
          <w:sz w:val="24"/>
          <w:szCs w:val="24"/>
        </w:rPr>
        <w:t>wytchnieniowej</w:t>
      </w:r>
      <w:proofErr w:type="spellEnd"/>
      <w:r w:rsidRPr="000C05D6">
        <w:rPr>
          <w:rFonts w:ascii="Times New Roman" w:hAnsi="Times New Roman" w:cs="Times New Roman"/>
          <w:sz w:val="24"/>
          <w:szCs w:val="24"/>
        </w:rPr>
        <w:t>.</w:t>
      </w:r>
    </w:p>
    <w:p w14:paraId="4EFC982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4B64DE4A"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77B08E7A"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4B56D71B"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D86F927"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Przykład:</w:t>
      </w:r>
    </w:p>
    <w:p w14:paraId="1E113EE9"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Dziedzina „Kontrola zwieraczy” odnosi się nie do czynności podejmowanych przez badanego, ale do funkcji organizmu związanych z kontrolowaniem defekacji oraz kontrolowaniem oddawania moczu. </w:t>
      </w:r>
    </w:p>
    <w:p w14:paraId="16A74025" w14:textId="6540C46F"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Ograniczenia dotyczące podejmowania czynności związanych z wypróżnianiem się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i oddawaniem moczu podlegają ocenie w ramach dziedziny „Toaleta”.</w:t>
      </w:r>
    </w:p>
    <w:p w14:paraId="29549A91" w14:textId="44E75D4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i oddawaniem moczu. </w:t>
      </w:r>
    </w:p>
    <w:p w14:paraId="08ABE904" w14:textId="1CC0472B"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lastRenderedPageBreak/>
        <w:t>Podobnie w przypadku obszaru „Świadomość społeczna” , gdzie znajdują się zarówno dziedziny dotyczące aktywności, jak „Kontakty międzyludzkie” oraz odnoszące się do funkcji ciała, jak „Pamięć”.</w:t>
      </w:r>
    </w:p>
    <w:p w14:paraId="4616E8B6"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Oceniane obszary aktywności  - opis z zastosowaniem kategorii ICF:</w:t>
      </w:r>
    </w:p>
    <w:p w14:paraId="77EA7909"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Dbanie o siebie: </w:t>
      </w:r>
    </w:p>
    <w:p w14:paraId="7932563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1. „Samoobsługa”</w:t>
      </w:r>
    </w:p>
    <w:p w14:paraId="1B215C76"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2. „Kontrola zwieraczy” </w:t>
      </w:r>
    </w:p>
    <w:p w14:paraId="69E4D96E" w14:textId="77777777" w:rsidR="00266B5E" w:rsidRPr="000C05D6" w:rsidRDefault="00266B5E" w:rsidP="00266B5E">
      <w:pPr>
        <w:pStyle w:val="Akapitzlist"/>
        <w:numPr>
          <w:ilvl w:val="0"/>
          <w:numId w:val="1"/>
        </w:numPr>
        <w:jc w:val="both"/>
        <w:rPr>
          <w:rFonts w:ascii="Times New Roman" w:hAnsi="Times New Roman" w:cs="Times New Roman"/>
          <w:sz w:val="24"/>
          <w:szCs w:val="24"/>
        </w:rPr>
      </w:pPr>
      <w:r w:rsidRPr="000C05D6">
        <w:rPr>
          <w:rFonts w:ascii="Times New Roman" w:hAnsi="Times New Roman" w:cs="Times New Roman"/>
          <w:sz w:val="24"/>
          <w:szCs w:val="24"/>
        </w:rPr>
        <w:t>„Samoobsługa”</w:t>
      </w:r>
    </w:p>
    <w:p w14:paraId="0B764481"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„Spożywanie posiłków” - d550 Jedzenie, d560 Picie</w:t>
      </w:r>
    </w:p>
    <w:p w14:paraId="532EBFC9"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„Dbałość o wygląd zewnętrzny” – d5100 Mycie pojedynczych części ciała, d520 Pielęgnowanie poszczególnych części ciała (skóra, włosy, zęby, paznokcie)</w:t>
      </w:r>
    </w:p>
    <w:p w14:paraId="43806154"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„Ubieranie górnej części ciała” – d5400 Zakładanie ubrania, d5401  Zdejmowanie ubrania</w:t>
      </w:r>
    </w:p>
    <w:p w14:paraId="2F22AF27"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„Ubieranie dolnej części ciała” – d5400 Zakładanie ubrania, d5401  Zdejmowanie ubrania, d5402 Zakładanie obuwia, d5403 Zdejmowanie obuwia</w:t>
      </w:r>
    </w:p>
    <w:p w14:paraId="60A64AA0"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„Kąpiel” -  d5101 Mycie całego ciała</w:t>
      </w:r>
    </w:p>
    <w:p w14:paraId="6689C5B2"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„Toaleta” - d530 Korzystanie z toalety (sygnalizowanie potrzeby, zajmowanie odpowiedniej pozycji, manipulowanie ubraniem przed i po, higiena po)</w:t>
      </w:r>
    </w:p>
    <w:p w14:paraId="4E723B3E" w14:textId="77777777" w:rsidR="00266B5E" w:rsidRPr="000C05D6" w:rsidRDefault="00266B5E" w:rsidP="00266B5E">
      <w:pPr>
        <w:pStyle w:val="Akapitzlist"/>
        <w:jc w:val="both"/>
        <w:rPr>
          <w:rFonts w:ascii="Times New Roman" w:hAnsi="Times New Roman" w:cs="Times New Roman"/>
          <w:sz w:val="24"/>
          <w:szCs w:val="24"/>
        </w:rPr>
      </w:pPr>
    </w:p>
    <w:p w14:paraId="0F57A3DA" w14:textId="77777777" w:rsidR="00266B5E" w:rsidRPr="000C05D6" w:rsidRDefault="00266B5E" w:rsidP="00266B5E">
      <w:pPr>
        <w:pStyle w:val="Akapitzlist"/>
        <w:numPr>
          <w:ilvl w:val="0"/>
          <w:numId w:val="1"/>
        </w:numPr>
        <w:jc w:val="both"/>
        <w:rPr>
          <w:rFonts w:ascii="Times New Roman" w:hAnsi="Times New Roman" w:cs="Times New Roman"/>
          <w:sz w:val="24"/>
          <w:szCs w:val="24"/>
        </w:rPr>
      </w:pPr>
      <w:r w:rsidRPr="000C05D6">
        <w:rPr>
          <w:rFonts w:ascii="Times New Roman" w:hAnsi="Times New Roman" w:cs="Times New Roman"/>
          <w:sz w:val="24"/>
          <w:szCs w:val="24"/>
        </w:rPr>
        <w:t>„Kontrola zwieraczy”</w:t>
      </w:r>
    </w:p>
    <w:p w14:paraId="30358C02"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„Oddawanie moczu” - b6202 Zdolność utrzymania moczu:  Funkcje sprawowania kontroli nad oddawaniem moczu</w:t>
      </w:r>
    </w:p>
    <w:p w14:paraId="353FB107" w14:textId="45EFA053" w:rsidR="00266B5E" w:rsidRPr="000C05D6" w:rsidRDefault="00266B5E" w:rsidP="000C05D6">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 xml:space="preserve">„Oddawanie stolca” -  b5253 Kontrolowanie oddawania stolca: funkcje związane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z świadomym panowaniem nad czynnością wydalania</w:t>
      </w:r>
    </w:p>
    <w:p w14:paraId="67771DCD"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Poruszanie się: </w:t>
      </w:r>
    </w:p>
    <w:p w14:paraId="5FBF2D85"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3.„Mobilność” </w:t>
      </w:r>
    </w:p>
    <w:p w14:paraId="44421E4F"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4.„Lokomocja” </w:t>
      </w:r>
    </w:p>
    <w:p w14:paraId="3791921E" w14:textId="77777777" w:rsidR="00266B5E" w:rsidRPr="000C05D6" w:rsidRDefault="00266B5E" w:rsidP="00266B5E">
      <w:pPr>
        <w:pStyle w:val="Akapitzlist"/>
        <w:numPr>
          <w:ilvl w:val="0"/>
          <w:numId w:val="1"/>
        </w:numPr>
        <w:spacing w:after="0"/>
        <w:jc w:val="both"/>
        <w:rPr>
          <w:rFonts w:ascii="Times New Roman" w:hAnsi="Times New Roman" w:cs="Times New Roman"/>
          <w:sz w:val="24"/>
          <w:szCs w:val="24"/>
        </w:rPr>
      </w:pPr>
      <w:r w:rsidRPr="000C05D6">
        <w:rPr>
          <w:rFonts w:ascii="Times New Roman" w:hAnsi="Times New Roman" w:cs="Times New Roman"/>
          <w:sz w:val="24"/>
          <w:szCs w:val="24"/>
        </w:rPr>
        <w:t>„Mobilność”</w:t>
      </w:r>
    </w:p>
    <w:p w14:paraId="669F656F" w14:textId="77777777" w:rsidR="00266B5E" w:rsidRPr="000C05D6" w:rsidRDefault="00266B5E" w:rsidP="00266B5E">
      <w:pPr>
        <w:spacing w:after="0"/>
        <w:ind w:left="360"/>
        <w:jc w:val="both"/>
        <w:rPr>
          <w:rFonts w:ascii="Times New Roman" w:hAnsi="Times New Roman" w:cs="Times New Roman"/>
          <w:sz w:val="24"/>
          <w:szCs w:val="24"/>
        </w:rPr>
      </w:pPr>
      <w:r w:rsidRPr="000C05D6">
        <w:rPr>
          <w:rFonts w:ascii="Times New Roman" w:hAnsi="Times New Roman" w:cs="Times New Roman"/>
          <w:sz w:val="24"/>
          <w:szCs w:val="24"/>
        </w:rPr>
        <w:t xml:space="preserve">3.1 „Przechodzenie z łóżka na krzesło lub wózek inwalidzki” - d4200 Przemieszczanie się w pozycji siedzącej,  </w:t>
      </w:r>
    </w:p>
    <w:p w14:paraId="0C0339AE" w14:textId="0A8CB1B6" w:rsidR="00266B5E" w:rsidRPr="000C05D6" w:rsidRDefault="00266B5E" w:rsidP="00266B5E">
      <w:pPr>
        <w:spacing w:after="0"/>
        <w:ind w:left="360"/>
        <w:jc w:val="both"/>
        <w:rPr>
          <w:rFonts w:ascii="Times New Roman" w:hAnsi="Times New Roman" w:cs="Times New Roman"/>
          <w:sz w:val="24"/>
          <w:szCs w:val="24"/>
        </w:rPr>
      </w:pPr>
      <w:r w:rsidRPr="000C05D6">
        <w:rPr>
          <w:rFonts w:ascii="Times New Roman" w:hAnsi="Times New Roman" w:cs="Times New Roman"/>
          <w:sz w:val="24"/>
          <w:szCs w:val="24"/>
        </w:rPr>
        <w:t>3.2 „Siadanie na muszli klozetowej” – d4103 Siedzenie: Przyjmowanie pozycji siedzącej</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i zmienianie pozycji ciała z siedzącej na każdą inną pozycję np. stojącą lub leżącą, d4104 Stanie Przyjmowanie pozycji stojącej lub zmienianie pozycji ciała ze stojącej na każdą inną pozycję np. leżącą lub siedzącą.</w:t>
      </w:r>
    </w:p>
    <w:p w14:paraId="10F01898" w14:textId="14E67CCD" w:rsidR="00266B5E" w:rsidRPr="000C05D6" w:rsidRDefault="00266B5E" w:rsidP="000C05D6">
      <w:pPr>
        <w:spacing w:after="0"/>
        <w:ind w:left="360"/>
        <w:jc w:val="both"/>
        <w:rPr>
          <w:rFonts w:ascii="Times New Roman" w:hAnsi="Times New Roman" w:cs="Times New Roman"/>
          <w:sz w:val="24"/>
          <w:szCs w:val="24"/>
        </w:rPr>
      </w:pPr>
      <w:r w:rsidRPr="000C05D6">
        <w:rPr>
          <w:rFonts w:ascii="Times New Roman" w:hAnsi="Times New Roman" w:cs="Times New Roman"/>
          <w:sz w:val="24"/>
          <w:szCs w:val="24"/>
        </w:rPr>
        <w:t>3.3 „Wchodzenie pod prysznic lub do wanny” - d4551 Wspinanie się (schody, krawężniki, inne przeszkody/obiekty)</w:t>
      </w:r>
    </w:p>
    <w:p w14:paraId="65EC3F48" w14:textId="77777777" w:rsidR="00266B5E" w:rsidRPr="000C05D6" w:rsidRDefault="00266B5E" w:rsidP="00266B5E">
      <w:pPr>
        <w:pStyle w:val="Akapitzlist"/>
        <w:numPr>
          <w:ilvl w:val="0"/>
          <w:numId w:val="1"/>
        </w:numPr>
        <w:spacing w:after="0"/>
        <w:jc w:val="both"/>
        <w:rPr>
          <w:rFonts w:ascii="Times New Roman" w:hAnsi="Times New Roman" w:cs="Times New Roman"/>
          <w:sz w:val="24"/>
          <w:szCs w:val="24"/>
        </w:rPr>
      </w:pPr>
      <w:r w:rsidRPr="000C05D6">
        <w:rPr>
          <w:rFonts w:ascii="Times New Roman" w:hAnsi="Times New Roman" w:cs="Times New Roman"/>
          <w:sz w:val="24"/>
          <w:szCs w:val="24"/>
        </w:rPr>
        <w:t>„Lokomocja”</w:t>
      </w:r>
    </w:p>
    <w:p w14:paraId="3344929C" w14:textId="77777777" w:rsidR="00266B5E" w:rsidRPr="000C05D6" w:rsidRDefault="00266B5E" w:rsidP="00266B5E">
      <w:pPr>
        <w:pStyle w:val="Akapitzlist"/>
        <w:numPr>
          <w:ilvl w:val="1"/>
          <w:numId w:val="1"/>
        </w:numPr>
        <w:jc w:val="both"/>
        <w:rPr>
          <w:rFonts w:ascii="Times New Roman" w:hAnsi="Times New Roman" w:cs="Times New Roman"/>
          <w:sz w:val="24"/>
          <w:szCs w:val="24"/>
        </w:rPr>
      </w:pPr>
      <w:r w:rsidRPr="000C05D6">
        <w:rPr>
          <w:rFonts w:ascii="Times New Roman" w:hAnsi="Times New Roman" w:cs="Times New Roman"/>
          <w:sz w:val="24"/>
          <w:szCs w:val="24"/>
        </w:rPr>
        <w:t xml:space="preserve"> „Chodzenie lub jazda na wózku inwalidzkim” - d450 Chodzenie, d465 Poruszanie się przy pomocy sprzętu (wózek inwalidzki)</w:t>
      </w:r>
    </w:p>
    <w:p w14:paraId="262FEB25" w14:textId="0C24243C" w:rsidR="00266B5E" w:rsidRPr="000C05D6" w:rsidRDefault="00266B5E" w:rsidP="00266B5E">
      <w:pPr>
        <w:pStyle w:val="Akapitzlist"/>
        <w:numPr>
          <w:ilvl w:val="1"/>
          <w:numId w:val="1"/>
        </w:numPr>
        <w:spacing w:after="0"/>
        <w:jc w:val="both"/>
        <w:rPr>
          <w:rFonts w:ascii="Times New Roman" w:hAnsi="Times New Roman" w:cs="Times New Roman"/>
          <w:sz w:val="24"/>
          <w:szCs w:val="24"/>
        </w:rPr>
      </w:pPr>
      <w:r w:rsidRPr="000C05D6">
        <w:rPr>
          <w:rFonts w:ascii="Times New Roman" w:hAnsi="Times New Roman" w:cs="Times New Roman"/>
          <w:sz w:val="24"/>
          <w:szCs w:val="24"/>
        </w:rPr>
        <w:t xml:space="preserve"> „Schody” - d4551 Wspinanie się (schody, krawężniki, inne przeszkody/obiekty)</w:t>
      </w:r>
    </w:p>
    <w:p w14:paraId="175CA603"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Funkcjonowanie społeczne</w:t>
      </w:r>
    </w:p>
    <w:p w14:paraId="58598413"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5.„Komunikacja”</w:t>
      </w:r>
    </w:p>
    <w:p w14:paraId="7D2CB593"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lastRenderedPageBreak/>
        <w:t>6.„Świadomość społeczna”</w:t>
      </w:r>
    </w:p>
    <w:p w14:paraId="373EBF17" w14:textId="77777777" w:rsidR="00266B5E" w:rsidRPr="000C05D6" w:rsidRDefault="00266B5E" w:rsidP="00266B5E">
      <w:pPr>
        <w:pStyle w:val="Akapitzlist"/>
        <w:numPr>
          <w:ilvl w:val="0"/>
          <w:numId w:val="2"/>
        </w:numPr>
        <w:jc w:val="both"/>
        <w:rPr>
          <w:rFonts w:ascii="Times New Roman" w:hAnsi="Times New Roman" w:cs="Times New Roman"/>
          <w:sz w:val="24"/>
          <w:szCs w:val="24"/>
        </w:rPr>
      </w:pPr>
      <w:r w:rsidRPr="000C05D6">
        <w:rPr>
          <w:rFonts w:ascii="Times New Roman" w:hAnsi="Times New Roman" w:cs="Times New Roman"/>
          <w:sz w:val="24"/>
          <w:szCs w:val="24"/>
        </w:rPr>
        <w:t xml:space="preserve">„Komunikacja” - </w:t>
      </w:r>
    </w:p>
    <w:p w14:paraId="7D35A467" w14:textId="77777777" w:rsidR="00266B5E" w:rsidRPr="000C05D6" w:rsidRDefault="00266B5E" w:rsidP="00266B5E">
      <w:pPr>
        <w:pStyle w:val="Akapitzlist"/>
        <w:numPr>
          <w:ilvl w:val="1"/>
          <w:numId w:val="2"/>
        </w:numPr>
        <w:jc w:val="both"/>
        <w:rPr>
          <w:rFonts w:ascii="Times New Roman" w:hAnsi="Times New Roman" w:cs="Times New Roman"/>
          <w:sz w:val="24"/>
          <w:szCs w:val="24"/>
        </w:rPr>
      </w:pPr>
      <w:r w:rsidRPr="000C05D6">
        <w:rPr>
          <w:rFonts w:ascii="Times New Roman" w:hAnsi="Times New Roman" w:cs="Times New Roman"/>
          <w:sz w:val="24"/>
          <w:szCs w:val="24"/>
        </w:rPr>
        <w:t xml:space="preserve"> „Zrozumienie” - d310 Porozumiewanie się – odbieranie - wiadomości ustne, d315 Porozumiewanie się – odbieranie - wiadomości niewerbalne</w:t>
      </w:r>
    </w:p>
    <w:p w14:paraId="70057506" w14:textId="697943EF" w:rsidR="00266B5E" w:rsidRPr="000C05D6" w:rsidRDefault="00266B5E" w:rsidP="000C05D6">
      <w:pPr>
        <w:pStyle w:val="Akapitzlist"/>
        <w:numPr>
          <w:ilvl w:val="1"/>
          <w:numId w:val="2"/>
        </w:numPr>
        <w:jc w:val="both"/>
        <w:rPr>
          <w:rFonts w:ascii="Times New Roman" w:hAnsi="Times New Roman" w:cs="Times New Roman"/>
          <w:sz w:val="24"/>
          <w:szCs w:val="24"/>
        </w:rPr>
      </w:pPr>
      <w:r w:rsidRPr="000C05D6">
        <w:rPr>
          <w:rFonts w:ascii="Times New Roman" w:hAnsi="Times New Roman" w:cs="Times New Roman"/>
          <w:sz w:val="24"/>
          <w:szCs w:val="24"/>
        </w:rPr>
        <w:t>„Wypowiadanie się” - d330 Mówienie, d335 Tworzenie wiadomości niewerbalnych, d350 Rozmowa</w:t>
      </w:r>
    </w:p>
    <w:p w14:paraId="1C675A1F" w14:textId="77777777" w:rsidR="00266B5E" w:rsidRPr="000C05D6" w:rsidRDefault="00266B5E" w:rsidP="00266B5E">
      <w:pPr>
        <w:pStyle w:val="Akapitzlist"/>
        <w:numPr>
          <w:ilvl w:val="0"/>
          <w:numId w:val="2"/>
        </w:numPr>
        <w:jc w:val="both"/>
        <w:rPr>
          <w:rFonts w:ascii="Times New Roman" w:hAnsi="Times New Roman" w:cs="Times New Roman"/>
          <w:sz w:val="24"/>
          <w:szCs w:val="24"/>
        </w:rPr>
      </w:pPr>
      <w:r w:rsidRPr="000C05D6">
        <w:rPr>
          <w:rFonts w:ascii="Times New Roman" w:hAnsi="Times New Roman" w:cs="Times New Roman"/>
          <w:sz w:val="24"/>
          <w:szCs w:val="24"/>
        </w:rPr>
        <w:t>„Świadomość społeczna”</w:t>
      </w:r>
    </w:p>
    <w:p w14:paraId="43F92350" w14:textId="77777777" w:rsidR="00266B5E" w:rsidRPr="000C05D6" w:rsidRDefault="00266B5E" w:rsidP="00266B5E">
      <w:pPr>
        <w:pStyle w:val="Akapitzlist"/>
        <w:numPr>
          <w:ilvl w:val="1"/>
          <w:numId w:val="2"/>
        </w:numPr>
        <w:jc w:val="both"/>
        <w:rPr>
          <w:rFonts w:ascii="Times New Roman" w:hAnsi="Times New Roman" w:cs="Times New Roman"/>
          <w:sz w:val="24"/>
          <w:szCs w:val="24"/>
        </w:rPr>
      </w:pPr>
      <w:r w:rsidRPr="000C05D6">
        <w:rPr>
          <w:rFonts w:ascii="Times New Roman" w:hAnsi="Times New Roman" w:cs="Times New Roman"/>
          <w:sz w:val="24"/>
          <w:szCs w:val="24"/>
        </w:rPr>
        <w:t xml:space="preserve"> „Kontakty międzyludzkie”</w:t>
      </w:r>
    </w:p>
    <w:p w14:paraId="47CC9BEA" w14:textId="2BD78931" w:rsidR="00266B5E" w:rsidRPr="000C05D6" w:rsidRDefault="00266B5E" w:rsidP="00266B5E">
      <w:pPr>
        <w:pStyle w:val="Akapitzlist"/>
        <w:jc w:val="both"/>
        <w:rPr>
          <w:rFonts w:ascii="Times New Roman" w:hAnsi="Times New Roman" w:cs="Times New Roman"/>
          <w:sz w:val="24"/>
          <w:szCs w:val="24"/>
        </w:rPr>
      </w:pPr>
      <w:r w:rsidRPr="000C05D6">
        <w:rPr>
          <w:rFonts w:ascii="Times New Roman" w:hAnsi="Times New Roman" w:cs="Times New Roman"/>
          <w:sz w:val="24"/>
          <w:szCs w:val="24"/>
        </w:rPr>
        <w:t xml:space="preserve">d710 Podstawowe kontakty międzyludzkie (Nawiązywanie kontaktów z ludźmi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w sposób odpowiedni do sytuacji i akceptowany społecznie), </w:t>
      </w:r>
    </w:p>
    <w:p w14:paraId="0F863069" w14:textId="5F29930D" w:rsidR="00266B5E" w:rsidRPr="000C05D6" w:rsidRDefault="00266B5E" w:rsidP="00266B5E">
      <w:pPr>
        <w:pStyle w:val="Akapitzlist"/>
        <w:jc w:val="both"/>
        <w:rPr>
          <w:rFonts w:ascii="Times New Roman" w:hAnsi="Times New Roman" w:cs="Times New Roman"/>
          <w:sz w:val="24"/>
          <w:szCs w:val="24"/>
        </w:rPr>
      </w:pPr>
      <w:r w:rsidRPr="000C05D6">
        <w:rPr>
          <w:rFonts w:ascii="Times New Roman" w:hAnsi="Times New Roman" w:cs="Times New Roman"/>
          <w:sz w:val="24"/>
          <w:szCs w:val="24"/>
        </w:rPr>
        <w:t>d720 Złożone kontakty międzyludzkie (Utrzymywanie i kontrolowanie wzajemnych kontaktów z innymi ludźmi, w sposób odpowiedni do danej sytuacji i akceptowany społecznie tak jak np. kontrolowanie emocji i odruchów, kontrolowanie werbalnej</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i fizycznej agresji, działanie niezależne od relacji społecznych, działanie zgodnie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z zasadami i zwyczajami społecznymi)</w:t>
      </w:r>
    </w:p>
    <w:p w14:paraId="29FBDBCD" w14:textId="77777777" w:rsidR="00266B5E" w:rsidRPr="000C05D6" w:rsidRDefault="00266B5E" w:rsidP="00266B5E">
      <w:pPr>
        <w:pStyle w:val="Akapitzlist"/>
        <w:numPr>
          <w:ilvl w:val="1"/>
          <w:numId w:val="2"/>
        </w:numPr>
        <w:jc w:val="both"/>
        <w:rPr>
          <w:rFonts w:ascii="Times New Roman" w:hAnsi="Times New Roman" w:cs="Times New Roman"/>
          <w:sz w:val="24"/>
          <w:szCs w:val="24"/>
        </w:rPr>
      </w:pPr>
      <w:r w:rsidRPr="000C05D6">
        <w:rPr>
          <w:rFonts w:ascii="Times New Roman" w:hAnsi="Times New Roman" w:cs="Times New Roman"/>
          <w:sz w:val="24"/>
          <w:szCs w:val="24"/>
        </w:rPr>
        <w:t xml:space="preserve">„Rozwiązywanie problemów” </w:t>
      </w:r>
    </w:p>
    <w:p w14:paraId="3E2C0F08" w14:textId="0AD174DB" w:rsidR="00266B5E" w:rsidRPr="000C05D6" w:rsidRDefault="00266B5E" w:rsidP="00266B5E">
      <w:pPr>
        <w:pStyle w:val="Akapitzlist"/>
        <w:jc w:val="both"/>
        <w:rPr>
          <w:rFonts w:ascii="Times New Roman" w:hAnsi="Times New Roman" w:cs="Times New Roman"/>
          <w:sz w:val="24"/>
          <w:szCs w:val="24"/>
        </w:rPr>
      </w:pPr>
      <w:r w:rsidRPr="000C05D6">
        <w:rPr>
          <w:rFonts w:ascii="Times New Roman" w:hAnsi="Times New Roman" w:cs="Times New Roman"/>
          <w:sz w:val="24"/>
          <w:szCs w:val="24"/>
        </w:rPr>
        <w:t xml:space="preserve">d175  Rozwiązywanie problemów: Znajdowanie odpowiedzi na pytania lub sytuacje poprzez identyfikowanie i analizowanie problemów, ustalanie możliwych rozwiązań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i ocenianie potencjalnych skutków tych rozwiązań a następnie wdrażanie wybranego rozwiązania, jak np. rozstrzyganie sporu pomiędzy dwoma osobami. </w:t>
      </w:r>
    </w:p>
    <w:p w14:paraId="3B496B4A" w14:textId="319B9B59" w:rsidR="00266B5E" w:rsidRPr="000C05D6" w:rsidRDefault="00266B5E" w:rsidP="00266B5E">
      <w:pPr>
        <w:pStyle w:val="Akapitzlist"/>
        <w:jc w:val="both"/>
        <w:rPr>
          <w:rFonts w:ascii="Times New Roman" w:hAnsi="Times New Roman" w:cs="Times New Roman"/>
          <w:sz w:val="24"/>
          <w:szCs w:val="24"/>
        </w:rPr>
      </w:pPr>
      <w:r w:rsidRPr="000C05D6">
        <w:rPr>
          <w:rFonts w:ascii="Times New Roman" w:hAnsi="Times New Roman" w:cs="Times New Roman"/>
          <w:sz w:val="24"/>
          <w:szCs w:val="24"/>
        </w:rPr>
        <w:t xml:space="preserve"> d210 Podejmowanie pojedynczego zadania: Wykonywanie prostych lub złożonych, skoordynowanych czynności umysłowych i fizycznych będących elementami realizacji pojedynczego zadania, jak np. inicjowanie zadania, ustalanie czasu, miejsca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i materiałów potrzebnych do wykonania zadania, kolejne kroki wykonania zadania, realizowanie zadania, finalizowanie zadania i kontynuowanie wykonywania zadania </w:t>
      </w:r>
    </w:p>
    <w:p w14:paraId="0AA5D75E" w14:textId="432381E0" w:rsidR="00266B5E" w:rsidRPr="000C05D6" w:rsidRDefault="00266B5E" w:rsidP="00266B5E">
      <w:pPr>
        <w:pStyle w:val="Akapitzlist"/>
        <w:jc w:val="both"/>
        <w:rPr>
          <w:rFonts w:ascii="Times New Roman" w:hAnsi="Times New Roman" w:cs="Times New Roman"/>
          <w:sz w:val="24"/>
          <w:szCs w:val="24"/>
        </w:rPr>
      </w:pPr>
      <w:r w:rsidRPr="000C05D6">
        <w:rPr>
          <w:rFonts w:ascii="Times New Roman" w:hAnsi="Times New Roman" w:cs="Times New Roman"/>
          <w:sz w:val="24"/>
          <w:szCs w:val="24"/>
        </w:rPr>
        <w:t xml:space="preserve">d230  Realizowanie dziennego rozkładu zajęć: Podejmowanie prostych lub złożonych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i skoordynowanych działań, związanych z planowaniem, ustalaniem i spełnianiem czynności wynikających z codziennego rozkładu zajęć i obowiązków. jak np. gospodarowanie czasem lub planowanie poszczególnych czynności wykonywanych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w ciągu dnia</w:t>
      </w:r>
    </w:p>
    <w:p w14:paraId="1743F0B1" w14:textId="77777777" w:rsidR="00266B5E" w:rsidRPr="000C05D6" w:rsidRDefault="00266B5E" w:rsidP="00266B5E">
      <w:pPr>
        <w:pStyle w:val="Akapitzlist"/>
        <w:numPr>
          <w:ilvl w:val="1"/>
          <w:numId w:val="2"/>
        </w:numPr>
        <w:jc w:val="both"/>
        <w:rPr>
          <w:rFonts w:ascii="Times New Roman" w:hAnsi="Times New Roman" w:cs="Times New Roman"/>
          <w:sz w:val="24"/>
          <w:szCs w:val="24"/>
        </w:rPr>
      </w:pPr>
      <w:r w:rsidRPr="000C05D6">
        <w:rPr>
          <w:rFonts w:ascii="Times New Roman" w:hAnsi="Times New Roman" w:cs="Times New Roman"/>
          <w:sz w:val="24"/>
          <w:szCs w:val="24"/>
        </w:rPr>
        <w:t>„Pamięć” - b144  Funkcje pamięci: Swoiste funkcje psychiczne umożliwiające rejestrowanie i przechowywanie informacji oraz - w razie potrzeby – odtwarzanie jej</w:t>
      </w:r>
    </w:p>
    <w:p w14:paraId="4795C6E5" w14:textId="443A3E67" w:rsidR="00266B5E" w:rsidRPr="000C05D6" w:rsidRDefault="00266B5E" w:rsidP="000C05D6">
      <w:pPr>
        <w:ind w:left="360"/>
        <w:jc w:val="both"/>
        <w:rPr>
          <w:rFonts w:ascii="Times New Roman" w:hAnsi="Times New Roman" w:cs="Times New Roman"/>
          <w:sz w:val="24"/>
          <w:szCs w:val="24"/>
        </w:rPr>
      </w:pPr>
      <w:r w:rsidRPr="000C05D6">
        <w:rPr>
          <w:rFonts w:ascii="Times New Roman" w:hAnsi="Times New Roman" w:cs="Times New Roman"/>
          <w:sz w:val="24"/>
          <w:szCs w:val="24"/>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7FC235F"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Rejestrowanie wyników badania/oceny/pomiaru samodzielności</w:t>
      </w:r>
    </w:p>
    <w:p w14:paraId="7EE5C7BA"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7 punktów – pełna niezależność (osoba wykonuje czynność bezpiecznie i szybko)</w:t>
      </w:r>
    </w:p>
    <w:p w14:paraId="502C3111"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6 punktów – umiarkowana niezależność (wykorzystywane są urządzenia pomocnicze)</w:t>
      </w:r>
    </w:p>
    <w:p w14:paraId="4A6334D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5 punktów – umiarkowana niezależność (konieczny jest nadzór lub asekuracja podczas wykonywania czynności)</w:t>
      </w:r>
    </w:p>
    <w:p w14:paraId="5AEDEF05"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lastRenderedPageBreak/>
        <w:t>4 punkty – potrzebna minimalna pomoc (osoba wykonuje samodzielnie więcej niż 75% czynności)</w:t>
      </w:r>
    </w:p>
    <w:p w14:paraId="74F77C63"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3 punkty – potrzebna umiarkowana pomoc (osoba wykonuje samodzielnie od 50 do 74% czynności)</w:t>
      </w:r>
    </w:p>
    <w:p w14:paraId="556BDF8B"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2 punkty – potrzebna maksymalna pomoc (osoba wykonuje samodzielnie od 25 do 50% czynności)</w:t>
      </w:r>
    </w:p>
    <w:p w14:paraId="0EF76577" w14:textId="0978BF9A"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1 punkt – całkowita zależność (osoba wykonuje samodzielnie mniej niż 25 % czynności)</w:t>
      </w:r>
    </w:p>
    <w:p w14:paraId="43FC4758"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Wyniki oceny dla każdego z obszarów aktywności:</w:t>
      </w:r>
    </w:p>
    <w:p w14:paraId="4049CEE4"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Samoobsługa – 6 czynności, punktacja od 6 pkt. do 42 pkt.</w:t>
      </w:r>
    </w:p>
    <w:p w14:paraId="6A92C516"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Kontrola zwieraczy – 2 czynności/funkcje, punktacja od 2 pkt. do 14 pkt.</w:t>
      </w:r>
    </w:p>
    <w:p w14:paraId="1B9FC90B"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Mobilność – 3 czynności, punktacja od 3 pkt. do 21 pkt.</w:t>
      </w:r>
    </w:p>
    <w:p w14:paraId="5BF05BA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Lokomocja – 2 czynności, punktacja od 2 pkt. do 14 pkt.</w:t>
      </w:r>
    </w:p>
    <w:p w14:paraId="2EF7DE8B"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Komunikacja - 2 czynności, punktacja od 2 pkt. do 14 pkt.</w:t>
      </w:r>
    </w:p>
    <w:p w14:paraId="7814B441" w14:textId="785B23AD"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Świadomość społeczna - 3 czynności/funkcje, punktacja od 3 pkt. do 21 pkt.</w:t>
      </w:r>
    </w:p>
    <w:p w14:paraId="4D54269C"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Kryteria oceny uprawniającej do korzystania z usług w pierwszej kolejności</w:t>
      </w:r>
    </w:p>
    <w:p w14:paraId="305A1866" w14:textId="77777777"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Maksymalna łączna ocena poziomu samodzielności w obszarach odnoszących się do wykonywania czynności codziennych oraz poruszania się (obszary 1- 4) wynosi 91 pkt., przy minimalnej ocenie 13 pkt.</w:t>
      </w:r>
    </w:p>
    <w:p w14:paraId="0B66BFD9" w14:textId="77777777"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Maksymalna łączna ocena poziomu funkcjonowania społecznego obejmującego komunikację, nawiązanie i utrzymywanie relacji z innymi osobami, rozwiązywanie problemów i pamięć (obszary 5 – 6), wynosi 35 pkt., przy minimalnej ocenie 5 pkt.</w:t>
      </w:r>
    </w:p>
    <w:p w14:paraId="7FDAA38C" w14:textId="77777777"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 xml:space="preserve">Ocena - 3 pkt. opisuje osobę, która wymaga pomocy w co najmniej 25% - 50% czynności składających się na daną aktywność oraz w podejmowaniu danej aktywności w co najmniej 25% - 50% czasu swojego codziennego rozkładu zajęć.  </w:t>
      </w:r>
    </w:p>
    <w:p w14:paraId="01C12926" w14:textId="77777777"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 xml:space="preserve">Ocena 4 pkt. oznacza konieczność udzielania pomocy osobie w mniej niż 25% czynności oraz w mniej niż 25% czasu swojego codziennego rozkładu zajęć.  </w:t>
      </w:r>
    </w:p>
    <w:p w14:paraId="6A5450DF" w14:textId="77777777"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 xml:space="preserve">Ocena 5 pkt. opisuje osobę wymagającą monitoringu i asekuracji, natomiast przy ocenie 6 pkt. samodzielność jest osiągana dzięki zastosowaniu przedmiotów i urządzeń </w:t>
      </w:r>
      <w:proofErr w:type="spellStart"/>
      <w:r w:rsidRPr="000C05D6">
        <w:rPr>
          <w:rFonts w:ascii="Times New Roman" w:hAnsi="Times New Roman" w:cs="Times New Roman"/>
          <w:sz w:val="24"/>
          <w:szCs w:val="24"/>
        </w:rPr>
        <w:t>kompensacyjno</w:t>
      </w:r>
      <w:proofErr w:type="spellEnd"/>
      <w:r w:rsidRPr="000C05D6">
        <w:rPr>
          <w:rFonts w:ascii="Times New Roman" w:hAnsi="Times New Roman" w:cs="Times New Roman"/>
          <w:sz w:val="24"/>
          <w:szCs w:val="24"/>
        </w:rPr>
        <w:t xml:space="preserve"> – asystujących.</w:t>
      </w:r>
    </w:p>
    <w:p w14:paraId="3FAF7273" w14:textId="30C52856" w:rsidR="00266B5E" w:rsidRPr="000C05D6" w:rsidRDefault="00266B5E" w:rsidP="00266B5E">
      <w:pPr>
        <w:pStyle w:val="Akapitzlist"/>
        <w:numPr>
          <w:ilvl w:val="0"/>
          <w:numId w:val="3"/>
        </w:numPr>
        <w:jc w:val="both"/>
        <w:rPr>
          <w:rFonts w:ascii="Times New Roman" w:hAnsi="Times New Roman" w:cs="Times New Roman"/>
          <w:sz w:val="24"/>
          <w:szCs w:val="24"/>
        </w:rPr>
      </w:pPr>
      <w:r w:rsidRPr="000C05D6">
        <w:rPr>
          <w:rFonts w:ascii="Times New Roman" w:hAnsi="Times New Roman" w:cs="Times New Roman"/>
          <w:sz w:val="24"/>
          <w:szCs w:val="24"/>
        </w:rPr>
        <w:t xml:space="preserve">W celu rzetelnej oceny i ustalenia kryteriów kwalifikacji w pierwszej kolejności do usług osób  o największym stopniu obciążonych sprawowaniem opieki, gdzie zostaną uwzględnione potrzeby opiekunów sprawujących opiekę nad osobami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z niepełnosprawnością intelektualną, osobami ze spektrum autyzmu i osobami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z niepełnosprawnością uwarunkowana chorobami psychicznymi.</w:t>
      </w:r>
    </w:p>
    <w:p w14:paraId="48C684C9"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u w:val="single"/>
        </w:rPr>
        <w:t>Przykład I</w:t>
      </w:r>
      <w:r w:rsidRPr="000C05D6">
        <w:rPr>
          <w:rFonts w:ascii="Times New Roman" w:hAnsi="Times New Roman" w:cs="Times New Roman"/>
          <w:sz w:val="24"/>
          <w:szCs w:val="24"/>
        </w:rPr>
        <w:t xml:space="preserve"> </w:t>
      </w:r>
    </w:p>
    <w:p w14:paraId="02E0F927"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osoba z niepełnosprawnością sprzężoną: 05-R Upośledzenie narządu ruchu, 10-N Choroby neurologiczne,  01-U Upośledzenie umysłowe</w:t>
      </w:r>
    </w:p>
    <w:p w14:paraId="508CC7AE" w14:textId="1B834C3F"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Osoba doświadcza trudności w funkcjonowaniu we wszystkich obszarach funkcjonowania. Wynikiem uprawniającym do uzyskania dostępu przez opiekuna do usług opieki </w:t>
      </w:r>
      <w:proofErr w:type="spellStart"/>
      <w:r w:rsidRPr="000C05D6">
        <w:rPr>
          <w:rFonts w:ascii="Times New Roman" w:hAnsi="Times New Roman" w:cs="Times New Roman"/>
          <w:sz w:val="24"/>
          <w:szCs w:val="24"/>
        </w:rPr>
        <w:lastRenderedPageBreak/>
        <w:t>wytchnieniowej</w:t>
      </w:r>
      <w:proofErr w:type="spellEnd"/>
      <w:r w:rsidRPr="000C05D6">
        <w:rPr>
          <w:rFonts w:ascii="Times New Roman" w:hAnsi="Times New Roman" w:cs="Times New Roman"/>
          <w:sz w:val="24"/>
          <w:szCs w:val="24"/>
        </w:rPr>
        <w:t xml:space="preserve"> w pierwszej kolejności jest ocena mniejsza lub równa 54 pkt. Oznacza</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to uzyskanie oceny w każdej z badanych aktywności/funkcji nie większej niż 3 pkt.</w:t>
      </w:r>
    </w:p>
    <w:p w14:paraId="43D53425"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 xml:space="preserve">Przykład II </w:t>
      </w:r>
    </w:p>
    <w:p w14:paraId="653E471B"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osoba z niepełnosprawnością ruchową: 05-R Upośledzenie narządu ruchu, 10-N Choroby neurologiczne.</w:t>
      </w:r>
    </w:p>
    <w:p w14:paraId="213AC495" w14:textId="69580A2D"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Osoba doświadcza trudności w obszarze wykonywania czynności dnia codziennego oraz </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w poruszaniu się i jednocześnie nie doświadcza lub doświadcza w niewielkim stopniu problemów w funkcjonowaniu  w wymiarze społecznym.</w:t>
      </w:r>
    </w:p>
    <w:p w14:paraId="66943F93" w14:textId="63E32A28"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Wynikiem uprawniającym do uzyskania dostępu przez opiekuna do usług opieki </w:t>
      </w:r>
      <w:proofErr w:type="spellStart"/>
      <w:r w:rsidRPr="000C05D6">
        <w:rPr>
          <w:rFonts w:ascii="Times New Roman" w:hAnsi="Times New Roman" w:cs="Times New Roman"/>
          <w:sz w:val="24"/>
          <w:szCs w:val="24"/>
        </w:rPr>
        <w:t>wytchnieniowej</w:t>
      </w:r>
      <w:proofErr w:type="spellEnd"/>
      <w:r w:rsidRPr="000C05D6">
        <w:rPr>
          <w:rFonts w:ascii="Times New Roman" w:hAnsi="Times New Roman" w:cs="Times New Roman"/>
          <w:sz w:val="24"/>
          <w:szCs w:val="24"/>
        </w:rPr>
        <w:t xml:space="preserve"> w pierwszej kolejności jest ocena mniejsza lub równa 39 pkt. w zakresie dbania o siebie i poruszania się (ocena w każdej z badanych aktywności/funkcji nie większej</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niż 3 pkt.) Natomiast w zakresie funkcjonowania społecznego można sobie wyobrazić uzyskanie maksymalnej oceny 35 pkt., czyli łącznej oceny 74 pkt.</w:t>
      </w:r>
    </w:p>
    <w:p w14:paraId="6057D42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W przypadku funkcjonowania społecznego niższa ocena może dotyczyć „Kontaktów międzyludzkich”</w:t>
      </w:r>
    </w:p>
    <w:p w14:paraId="2471B4C8"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 xml:space="preserve">Przykład III </w:t>
      </w:r>
    </w:p>
    <w:p w14:paraId="39311860"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osoba z niepełnosprawnością intelektualną: 01-U Upośledzenie umysłowe</w:t>
      </w:r>
    </w:p>
    <w:p w14:paraId="2B80EBCD" w14:textId="77777777"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 xml:space="preserve">Wynikiem uprawniającym do uzyskania dostępu przez opiekuna do usług opieki </w:t>
      </w:r>
      <w:proofErr w:type="spellStart"/>
      <w:r w:rsidRPr="000C05D6">
        <w:rPr>
          <w:rFonts w:ascii="Times New Roman" w:hAnsi="Times New Roman" w:cs="Times New Roman"/>
          <w:sz w:val="24"/>
          <w:szCs w:val="24"/>
        </w:rPr>
        <w:t>wytchnieniowej</w:t>
      </w:r>
      <w:proofErr w:type="spellEnd"/>
      <w:r w:rsidRPr="000C05D6">
        <w:rPr>
          <w:rFonts w:ascii="Times New Roman" w:hAnsi="Times New Roman" w:cs="Times New Roman"/>
          <w:sz w:val="24"/>
          <w:szCs w:val="24"/>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BE2D18C" w14:textId="2B832A6E"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W przypadku dbania o siebie można wyobrazić sobie niższą ocenę w zakresie „Dbałości</w:t>
      </w:r>
      <w:r w:rsidR="000C05D6">
        <w:rPr>
          <w:rFonts w:ascii="Times New Roman" w:hAnsi="Times New Roman" w:cs="Times New Roman"/>
          <w:sz w:val="24"/>
          <w:szCs w:val="24"/>
        </w:rPr>
        <w:t xml:space="preserve">                       </w:t>
      </w:r>
      <w:r w:rsidRPr="000C05D6">
        <w:rPr>
          <w:rFonts w:ascii="Times New Roman" w:hAnsi="Times New Roman" w:cs="Times New Roman"/>
          <w:sz w:val="24"/>
          <w:szCs w:val="24"/>
        </w:rPr>
        <w:t xml:space="preserve"> o wygląd zewnętrzny” oraz „Toalecie”</w:t>
      </w:r>
    </w:p>
    <w:p w14:paraId="2D3CB30C" w14:textId="61FF7555" w:rsidR="00266B5E" w:rsidRPr="000C05D6" w:rsidRDefault="00266B5E" w:rsidP="00266B5E">
      <w:pPr>
        <w:jc w:val="both"/>
        <w:rPr>
          <w:rFonts w:ascii="Times New Roman" w:hAnsi="Times New Roman" w:cs="Times New Roman"/>
          <w:sz w:val="24"/>
          <w:szCs w:val="24"/>
        </w:rPr>
      </w:pPr>
      <w:r w:rsidRPr="000C05D6">
        <w:rPr>
          <w:rFonts w:ascii="Times New Roman" w:hAnsi="Times New Roman" w:cs="Times New Roman"/>
          <w:sz w:val="24"/>
          <w:szCs w:val="24"/>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0CAD9C31" w14:textId="77777777" w:rsidR="00266B5E" w:rsidRPr="000C05D6" w:rsidRDefault="00266B5E" w:rsidP="00266B5E">
      <w:pPr>
        <w:jc w:val="both"/>
        <w:rPr>
          <w:rFonts w:ascii="Times New Roman" w:hAnsi="Times New Roman" w:cs="Times New Roman"/>
          <w:sz w:val="24"/>
          <w:szCs w:val="24"/>
          <w:u w:val="single"/>
        </w:rPr>
      </w:pPr>
      <w:r w:rsidRPr="000C05D6">
        <w:rPr>
          <w:rFonts w:ascii="Times New Roman" w:hAnsi="Times New Roman" w:cs="Times New Roman"/>
          <w:sz w:val="24"/>
          <w:szCs w:val="24"/>
          <w:u w:val="single"/>
        </w:rPr>
        <w:t>Łączna wartość oceny kwalifikującej do usług w pierwszej kolejności:</w:t>
      </w:r>
    </w:p>
    <w:p w14:paraId="7B4DCC8E" w14:textId="77777777" w:rsidR="00266B5E" w:rsidRPr="000C05D6" w:rsidRDefault="00266B5E" w:rsidP="000C05D6">
      <w:pPr>
        <w:pStyle w:val="Akapitzlist"/>
        <w:numPr>
          <w:ilvl w:val="0"/>
          <w:numId w:val="4"/>
        </w:numPr>
        <w:ind w:left="284" w:firstLine="76"/>
        <w:jc w:val="both"/>
        <w:rPr>
          <w:rFonts w:ascii="Times New Roman" w:hAnsi="Times New Roman" w:cs="Times New Roman"/>
          <w:sz w:val="24"/>
          <w:szCs w:val="24"/>
        </w:rPr>
      </w:pPr>
      <w:r w:rsidRPr="000C05D6">
        <w:rPr>
          <w:rFonts w:ascii="Times New Roman" w:hAnsi="Times New Roman" w:cs="Times New Roman"/>
          <w:sz w:val="24"/>
          <w:szCs w:val="24"/>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72AD4BBC" w14:textId="77777777" w:rsidR="00266B5E" w:rsidRPr="000C05D6" w:rsidRDefault="00266B5E" w:rsidP="000C05D6">
      <w:pPr>
        <w:jc w:val="both"/>
        <w:rPr>
          <w:rFonts w:ascii="Times New Roman" w:hAnsi="Times New Roman" w:cs="Times New Roman"/>
          <w:sz w:val="24"/>
          <w:szCs w:val="24"/>
        </w:rPr>
      </w:pPr>
      <w:r w:rsidRPr="000C05D6">
        <w:rPr>
          <w:rFonts w:ascii="Times New Roman" w:hAnsi="Times New Roman" w:cs="Times New Roman"/>
          <w:sz w:val="24"/>
          <w:szCs w:val="24"/>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D3F57B7" w14:textId="77777777" w:rsidR="00266B5E" w:rsidRPr="000C05D6" w:rsidRDefault="00266B5E" w:rsidP="00266B5E">
      <w:pPr>
        <w:pStyle w:val="Akapitzlist"/>
        <w:numPr>
          <w:ilvl w:val="0"/>
          <w:numId w:val="4"/>
        </w:numPr>
        <w:jc w:val="both"/>
        <w:rPr>
          <w:rFonts w:ascii="Times New Roman" w:hAnsi="Times New Roman" w:cs="Times New Roman"/>
          <w:sz w:val="24"/>
          <w:szCs w:val="24"/>
        </w:rPr>
      </w:pPr>
      <w:r w:rsidRPr="000C05D6">
        <w:rPr>
          <w:rFonts w:ascii="Times New Roman" w:hAnsi="Times New Roman" w:cs="Times New Roman"/>
          <w:sz w:val="24"/>
          <w:szCs w:val="24"/>
        </w:rPr>
        <w:lastRenderedPageBreak/>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02150165" w14:textId="77777777" w:rsidR="00266B5E" w:rsidRPr="000C05D6" w:rsidRDefault="00266B5E" w:rsidP="00266B5E">
      <w:pPr>
        <w:pStyle w:val="Akapitzlist"/>
        <w:numPr>
          <w:ilvl w:val="0"/>
          <w:numId w:val="4"/>
        </w:numPr>
        <w:jc w:val="both"/>
        <w:rPr>
          <w:rFonts w:ascii="Times New Roman" w:hAnsi="Times New Roman" w:cs="Times New Roman"/>
          <w:sz w:val="24"/>
          <w:szCs w:val="24"/>
        </w:rPr>
      </w:pPr>
      <w:r w:rsidRPr="000C05D6">
        <w:rPr>
          <w:rFonts w:ascii="Times New Roman" w:hAnsi="Times New Roman" w:cs="Times New Roman"/>
          <w:sz w:val="24"/>
          <w:szCs w:val="24"/>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AE3212E" w14:textId="77777777" w:rsidR="00266B5E" w:rsidRPr="000C05D6" w:rsidRDefault="00266B5E" w:rsidP="00266B5E">
      <w:pPr>
        <w:jc w:val="both"/>
        <w:rPr>
          <w:rFonts w:ascii="Times New Roman" w:hAnsi="Times New Roman" w:cs="Times New Roman"/>
          <w:sz w:val="24"/>
          <w:szCs w:val="24"/>
        </w:rPr>
      </w:pPr>
    </w:p>
    <w:p w14:paraId="767CE955" w14:textId="77777777" w:rsidR="00266B5E" w:rsidRPr="000C05D6" w:rsidRDefault="00266B5E" w:rsidP="00266B5E">
      <w:pPr>
        <w:jc w:val="both"/>
        <w:rPr>
          <w:rFonts w:ascii="Times New Roman" w:hAnsi="Times New Roman" w:cs="Times New Roman"/>
          <w:sz w:val="24"/>
          <w:szCs w:val="24"/>
        </w:rPr>
      </w:pPr>
    </w:p>
    <w:p w14:paraId="311049F5" w14:textId="77777777" w:rsidR="00266B5E" w:rsidRPr="000C05D6" w:rsidRDefault="00266B5E" w:rsidP="00266B5E">
      <w:pPr>
        <w:jc w:val="both"/>
        <w:rPr>
          <w:rFonts w:ascii="Times New Roman" w:hAnsi="Times New Roman" w:cs="Times New Roman"/>
          <w:sz w:val="24"/>
          <w:szCs w:val="24"/>
        </w:rPr>
      </w:pPr>
    </w:p>
    <w:p w14:paraId="58F1FB04" w14:textId="77777777" w:rsidR="00266B5E" w:rsidRPr="000C05D6" w:rsidRDefault="00266B5E" w:rsidP="00266B5E">
      <w:pPr>
        <w:jc w:val="both"/>
        <w:rPr>
          <w:rFonts w:ascii="Times New Roman" w:hAnsi="Times New Roman" w:cs="Times New Roman"/>
          <w:sz w:val="24"/>
          <w:szCs w:val="24"/>
        </w:rPr>
      </w:pPr>
    </w:p>
    <w:p w14:paraId="5637BF70" w14:textId="77777777" w:rsidR="00266B5E" w:rsidRPr="000C05D6" w:rsidRDefault="00266B5E" w:rsidP="00266B5E">
      <w:pPr>
        <w:jc w:val="both"/>
        <w:rPr>
          <w:rFonts w:ascii="Times New Roman" w:hAnsi="Times New Roman" w:cs="Times New Roman"/>
          <w:sz w:val="24"/>
          <w:szCs w:val="24"/>
        </w:rPr>
      </w:pPr>
    </w:p>
    <w:p w14:paraId="32BE6939" w14:textId="77777777" w:rsidR="00B758CD" w:rsidRPr="000C05D6" w:rsidRDefault="00B758CD">
      <w:pPr>
        <w:rPr>
          <w:rFonts w:ascii="Times New Roman" w:hAnsi="Times New Roman" w:cs="Times New Roman"/>
          <w:sz w:val="24"/>
          <w:szCs w:val="24"/>
        </w:rPr>
      </w:pPr>
    </w:p>
    <w:sectPr w:rsidR="00B758CD" w:rsidRPr="000C0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7B77BB6"/>
    <w:multiLevelType w:val="multilevel"/>
    <w:tmpl w:val="20E2D1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5E"/>
    <w:rsid w:val="000C05D6"/>
    <w:rsid w:val="001943DB"/>
    <w:rsid w:val="00266B5E"/>
    <w:rsid w:val="00B75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7CB9"/>
  <w15:chartTrackingRefBased/>
  <w15:docId w15:val="{243DD4FB-D3DA-4276-8F76-A5AD0A2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B5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11919</Characters>
  <Application>Microsoft Office Word</Application>
  <DocSecurity>0</DocSecurity>
  <Lines>99</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Gerula</dc:creator>
  <cp:keywords/>
  <dc:description/>
  <cp:lastModifiedBy>Sławomir Daleki</cp:lastModifiedBy>
  <cp:revision>2</cp:revision>
  <dcterms:created xsi:type="dcterms:W3CDTF">2021-06-29T08:08:00Z</dcterms:created>
  <dcterms:modified xsi:type="dcterms:W3CDTF">2021-06-29T08:08:00Z</dcterms:modified>
</cp:coreProperties>
</file>